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Podgląd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ind w:left="100"/>
      </w:pPr>
      <w:r>
        <w:rPr/>
        <w:t>Rozkład materiału nauczania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1812"/>
      </w:tblGrid>
      <w:tr>
        <w:trPr>
          <w:trHeight w:val="280" w:hRule="atLeast"/>
        </w:trPr>
        <w:tc>
          <w:tcPr>
            <w:tcW w:w="13523" w:type="dxa"/>
            <w:gridSpan w:val="2"/>
          </w:tcPr>
          <w:p>
            <w:pPr>
              <w:pStyle w:val="TableParagraph"/>
              <w:spacing w:before="20"/>
              <w:ind w:left="5883" w:right="5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podręcznika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PRZEWODNIK OBYWATELSKI. WIEDZA O SPOŁECZEŃSTWIE W LICEUM I TECHNIKUM - ZAKRES </w:t>
            </w:r>
            <w:r>
              <w:rPr>
                <w:spacing w:val="-5"/>
                <w:sz w:val="20"/>
              </w:rPr>
              <w:t>PODSTAWOWY. </w:t>
            </w:r>
            <w:r>
              <w:rPr>
                <w:sz w:val="20"/>
              </w:rPr>
              <w:t>CZĘŚĆ 2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ISBN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9788389623775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</w:tr>
      <w:tr>
        <w:trPr>
          <w:trHeight w:val="1180" w:hRule="atLeast"/>
        </w:trPr>
        <w:tc>
          <w:tcPr>
            <w:tcW w:w="17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Autorzy</w:t>
            </w:r>
          </w:p>
        </w:tc>
        <w:tc>
          <w:tcPr>
            <w:tcW w:w="11812" w:type="dxa"/>
          </w:tcPr>
          <w:p>
            <w:pPr>
              <w:pStyle w:val="TableParagraph"/>
              <w:spacing w:line="235" w:lineRule="auto" w:before="23"/>
              <w:ind w:left="65" w:right="9857"/>
              <w:rPr>
                <w:sz w:val="20"/>
              </w:rPr>
            </w:pPr>
            <w:r>
              <w:rPr>
                <w:sz w:val="20"/>
              </w:rPr>
              <w:t>Pacewicz Alicja Merta Tomasz Waśkiewicz Andrzej</w:t>
            </w:r>
          </w:p>
          <w:p>
            <w:pPr>
              <w:pStyle w:val="TableParagraph"/>
              <w:spacing w:line="235" w:lineRule="auto"/>
              <w:ind w:left="65" w:right="8995"/>
              <w:rPr>
                <w:sz w:val="20"/>
              </w:rPr>
            </w:pPr>
            <w:r>
              <w:rPr>
                <w:sz w:val="20"/>
              </w:rPr>
              <w:t>Woźniakowska-Fajst Dagmara Klaus Witold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Rok wydania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1711" w:type="dxa"/>
          </w:tcPr>
          <w:p>
            <w:pPr>
              <w:pStyle w:val="TableParagraph"/>
              <w:spacing w:before="20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Miejsce wydania</w:t>
            </w:r>
          </w:p>
        </w:tc>
        <w:tc>
          <w:tcPr>
            <w:tcW w:w="11812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Warszawa</w:t>
            </w:r>
          </w:p>
        </w:tc>
      </w:tr>
      <w:tr>
        <w:trPr>
          <w:trHeight w:val="280" w:hRule="atLeast"/>
        </w:trPr>
        <w:tc>
          <w:tcPr>
            <w:tcW w:w="135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24"/>
        </w:r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55"/>
      </w:tblGrid>
      <w:tr>
        <w:trPr>
          <w:trHeight w:val="280" w:hRule="atLeast"/>
        </w:trPr>
        <w:tc>
          <w:tcPr>
            <w:tcW w:w="15955" w:type="dxa"/>
          </w:tcPr>
          <w:p>
            <w:pPr>
              <w:pStyle w:val="TableParagraph"/>
              <w:spacing w:before="20"/>
              <w:ind w:left="7732" w:right="77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</w:tr>
      <w:tr>
        <w:trPr>
          <w:trHeight w:val="2981" w:hRule="atLeast"/>
        </w:trPr>
        <w:tc>
          <w:tcPr>
            <w:tcW w:w="15955" w:type="dxa"/>
          </w:tcPr>
          <w:p>
            <w:pPr>
              <w:pStyle w:val="TableParagraph"/>
              <w:spacing w:before="20"/>
              <w:ind w:left="65"/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35" w:lineRule="auto" w:before="0" w:after="0"/>
              <w:ind w:left="65" w:right="66" w:firstLine="0"/>
              <w:jc w:val="left"/>
              <w:rPr>
                <w:sz w:val="20"/>
              </w:rPr>
            </w:pPr>
            <w:r>
              <w:rPr>
                <w:sz w:val="20"/>
              </w:rPr>
              <w:t>W rozkładzie nauczania na niektóre tematy przeznaczyliśmy dwie jednostki lekcyjne, na inne - jedną, co wynika z naszej oceny ilości materiału oraz możliwości rozwinięcia go </w:t>
            </w:r>
            <w:r>
              <w:rPr>
                <w:spacing w:val="-6"/>
                <w:sz w:val="20"/>
              </w:rPr>
              <w:t>na </w:t>
            </w:r>
            <w:r>
              <w:rPr>
                <w:sz w:val="20"/>
              </w:rPr>
              <w:t>lekcjach z wykorzystaniem form interaktywnych i projektowych. Jednak nauczyciel/ka może za każdym razem podjąć własną decyzję w tej sprawie i np. zrealizować temat nr 6. albo 8. z działu trzeciego na dwóch lekcjach, a 4. lub 14. - na jednej. Warto tu uwzględnić zainteresowania młodych ludzi i własne pasje oraz przekonanie o wadze konkretnego obszaru w życiu obywatelskim i społecznym młodych ludzi.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35" w:lineRule="auto" w:before="0" w:after="0"/>
              <w:ind w:left="65" w:right="354" w:firstLine="0"/>
              <w:jc w:val="both"/>
              <w:rPr>
                <w:sz w:val="20"/>
              </w:rPr>
            </w:pPr>
            <w:r>
              <w:rPr>
                <w:sz w:val="20"/>
              </w:rPr>
              <w:t>Zarówno uczniowskie projekty edukacyjne, jak i ewentualne sprawdziany oraz podsumowania działów powinny stanowić naturalny element pracy na lekcjach. Końcowe lekcje obu semestrów przeznaczyliśmy dodatkowo na prace projektowe, </w:t>
            </w:r>
            <w:r>
              <w:rPr>
                <w:spacing w:val="-3"/>
                <w:sz w:val="20"/>
              </w:rPr>
              <w:t>debaty, </w:t>
            </w:r>
            <w:r>
              <w:rPr>
                <w:sz w:val="20"/>
              </w:rPr>
              <w:t>wyjście w teren lub publiczne prezentacje efektów pracy uczniów, ale to od nauczyciela i konkretnych warunków </w:t>
            </w:r>
            <w:r>
              <w:rPr>
                <w:spacing w:val="-3"/>
                <w:sz w:val="20"/>
              </w:rPr>
              <w:t>zależy, </w:t>
            </w:r>
            <w:r>
              <w:rPr>
                <w:sz w:val="20"/>
              </w:rPr>
              <w:t>w jakim momencie roku szkolnego to się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odbędzie.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</w:tabs>
              <w:spacing w:line="235" w:lineRule="auto" w:before="0" w:after="0"/>
              <w:ind w:left="65" w:right="399" w:firstLine="0"/>
              <w:jc w:val="left"/>
              <w:rPr>
                <w:sz w:val="20"/>
              </w:rPr>
            </w:pPr>
            <w:r>
              <w:rPr>
                <w:sz w:val="20"/>
              </w:rPr>
              <w:t>Ocenianie uczennic i uczniów najlepiej prowadzić na bieżąco, o ile to możliwe w formie oceniania kształtującego, a przynajmniej - krótkiej informacji zwrotnej. Nawet jeśli uczniowie uzyskują oceny czy punkty za wykonanie konkretnych zadań, udział w lekcjach (np. dyskusji albo pracy zespołowej), odpowiedzi na kartkówkach, najlepiej także systematycznie wplatać to w przebieg zajęć. W sytuacji, gdy nauczyciel zamierza przeprowadzać dłuższe sprawdziany i podsumowania i konieczne będzie wygospodarowanie dodatkowej godziny lekcyjnej, można zrezygnować z rozbicia wybranych tematów na dwie lekcje.</w:t>
            </w:r>
          </w:p>
        </w:tc>
      </w:tr>
      <w:tr>
        <w:trPr>
          <w:trHeight w:val="280" w:hRule="atLeast"/>
        </w:trPr>
        <w:tc>
          <w:tcPr>
            <w:tcW w:w="15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0"/>
        </w:rPr>
      </w:pPr>
      <w:r>
        <w:rPr/>
        <w:pict>
          <v:group style="position:absolute;margin-left:21.255062pt;margin-top:8.279168pt;width:798.5pt;height:31.55pt;mso-position-horizontal-relative:page;mso-position-vertical-relative:paragraph;z-index:-251657216;mso-wrap-distance-left:0;mso-wrap-distance-right:0" coordorigin="425,166" coordsize="15970,631">
            <v:line style="position:absolute" from="425,698" to="16395,698" stroked="true" strokeweight=".75046pt" strokecolor="#000000">
              <v:stroke dashstyle="solid"/>
            </v:line>
            <v:line style="position:absolute" from="425,698" to="16395,698" stroked="true" strokeweight=".75046pt" strokecolor="#000000">
              <v:stroke dashstyle="solid"/>
            </v:line>
            <v:line style="position:absolute" from="425,788" to="16395,788" stroked="true" strokeweight=".75046pt" strokecolor="#000000">
              <v:stroke dashstyle="solid"/>
            </v:line>
            <v:line style="position:absolute" from="16387,166" to="16387,796" stroked="true" strokeweight=".75046pt" strokecolor="#000000">
              <v:stroke dashstyle="solid"/>
            </v:line>
            <v:line style="position:absolute" from="425,173" to="1025,173" stroked="true" strokeweight=".75046pt" strokecolor="#000000">
              <v:stroke dashstyle="solid"/>
            </v:line>
            <v:line style="position:absolute" from="425,698" to="1025,698" stroked="true" strokeweight=".75046pt" strokecolor="#000000">
              <v:stroke dashstyle="solid"/>
            </v:line>
            <v:line style="position:absolute" from="433,166" to="433,796" stroked="true" strokeweight=".75046pt" strokecolor="#000000">
              <v:stroke dashstyle="solid"/>
            </v:line>
            <v:shape style="position:absolute;left:620;top:330;width:226;height:21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17;top:173;width:15370;height:526" type="#_x0000_t202" filled="false" stroked="true" strokeweight=".75046pt" strokecolor="#000000">
              <v:textbox inset="0,0,0,0">
                <w:txbxContent>
                  <w:p>
                    <w:pPr>
                      <w:spacing w:line="235" w:lineRule="auto" w:before="26"/>
                      <w:ind w:left="150" w:right="1293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Etap: Ponadgimnazjalna / ponadpodstawowa, Poziom: 2 Liczba tematów lekcji: 21, Liczba godzin lekcyjnych 35 (w tym 33 tematycznych i 2 godzin nietematycznych)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0"/>
        </w:rPr>
        <w:sectPr>
          <w:type w:val="continuous"/>
          <w:pgSz w:w="16820" w:h="11920" w:orient="landscape"/>
          <w:pgMar w:top="6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28"/>
        <w:gridCol w:w="803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415" w:hRule="atLeast"/>
        </w:trPr>
        <w:tc>
          <w:tcPr>
            <w:tcW w:w="593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64" w:type="dxa"/>
            <w:gridSpan w:val="10"/>
          </w:tcPr>
          <w:p>
            <w:pPr>
              <w:pStyle w:val="TableParagraph"/>
              <w:spacing w:line="226" w:lineRule="exact" w:before="27"/>
              <w:ind w:left="147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6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3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49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23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7" w:after="1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line="235" w:lineRule="auto" w:before="22"/>
              <w:ind w:left="74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141" w:lineRule="exact"/>
              <w:ind w:left="69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  <w:p>
            <w:pPr>
              <w:pStyle w:val="TableParagraph"/>
              <w:spacing w:line="235" w:lineRule="auto" w:before="1"/>
              <w:ind w:left="72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22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22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138"/>
              <w:ind w:left="2622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138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138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22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141" w:lineRule="exact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Zasób /</w:t>
            </w:r>
          </w:p>
          <w:p>
            <w:pPr>
              <w:pStyle w:val="TableParagraph"/>
              <w:spacing w:line="235" w:lineRule="auto" w:before="1"/>
              <w:ind w:left="65" w:right="36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1 - 2</w:t>
            </w:r>
          </w:p>
        </w:tc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16"/>
              <w:rPr>
                <w:sz w:val="20"/>
              </w:rPr>
            </w:pPr>
            <w:r>
              <w:rPr>
                <w:sz w:val="20"/>
              </w:rPr>
              <w:t>CO TO JEST PRAWO? Podstawowe pojęcia: • prawo • kodeks • sankcja • norma moralna, religijna, obyczajowa • system prawny • prawo stanowione, prawo zwyczajowe, prawo precedensowe • prawo religijne • szarijat • prawo naturalne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</w:t>
            </w:r>
          </w:p>
        </w:tc>
        <w:tc>
          <w:tcPr>
            <w:tcW w:w="123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3 - 4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61"/>
              <w:rPr>
                <w:sz w:val="20"/>
              </w:rPr>
            </w:pPr>
            <w:r>
              <w:rPr>
                <w:sz w:val="20"/>
              </w:rPr>
              <w:t>RODZAJE PRAWA. Podstawowe pojęcia: • prawo cywilne • osoba prawna • czynności prawne • zasada swobody umów, równości stron, właściwości sądu cywilnego • prawo administracyjne • prawo pracy • prawo karne • zasada domniemania niewinności • prawo do obrony • przestępstwo • norma prawna • prawo międzynarodowe • cechy dobrego prawa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5 - 6</w:t>
            </w:r>
          </w:p>
        </w:tc>
        <w:tc>
          <w:tcPr>
            <w:tcW w:w="78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16"/>
              <w:rPr>
                <w:sz w:val="20"/>
              </w:rPr>
            </w:pPr>
            <w:r>
              <w:rPr>
                <w:sz w:val="20"/>
              </w:rPr>
              <w:t>SYSTEM PRAWNY RP. Podstawowe pojęcia: • hierarchia aktów prawnych • umowa międzynarodowa • ratyfikacja • ustawa • rozporządzenie • akt prawa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V.2</w:t>
            </w:r>
          </w:p>
        </w:tc>
        <w:tc>
          <w:tcPr>
            <w:tcW w:w="123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7 - 8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61"/>
              <w:rPr>
                <w:sz w:val="20"/>
              </w:rPr>
            </w:pPr>
            <w:r>
              <w:rPr>
                <w:sz w:val="20"/>
              </w:rPr>
              <w:t>PRAWA CZŁOWIEKA. Podstawowe pojęcia: • prawa i wolności • historia praw człowieka • godność osobowa • godność osobista • prawa osobiste, polityczne, ekonomiczne, socjalne, kulturalne • wolność myśli, sumienia, wyznania, słowa • generacje praw człowieka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0" w:val="left" w:leader="none"/>
              </w:tabs>
              <w:spacing w:line="225" w:lineRule="exact" w:before="0" w:after="0"/>
              <w:ind w:left="189" w:right="0" w:hanging="126"/>
              <w:jc w:val="left"/>
              <w:rPr>
                <w:sz w:val="20"/>
              </w:rPr>
            </w:pPr>
            <w:r>
              <w:rPr>
                <w:sz w:val="20"/>
              </w:rPr>
              <w:t>prawa dziecka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IV.1, IV.4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9 - 10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553"/>
              <w:rPr>
                <w:sz w:val="20"/>
              </w:rPr>
            </w:pPr>
            <w:r>
              <w:rPr>
                <w:sz w:val="20"/>
              </w:rPr>
              <w:t>OCHRONA PRAW CZŁOWIEKA. Podstawowe pojęcia: • prawa proceduralne • krajowy i międzynarodowy system ochrony praw człowieka • podstawa prawna • skarga • sąd (trybunał) międzynarodowy • zbrodnie wojenne • ludobójstwo • organizacje społeczne w obronie praw człowieka • więzień sumienia • prawa człowieka w PRL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IV.3, IV.5,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sz w:val="20"/>
              </w:rPr>
              <w:t>IV.6 </w:t>
            </w: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2"/>
              <w:rPr>
                <w:sz w:val="20"/>
              </w:rPr>
            </w:pPr>
            <w:r>
              <w:rPr>
                <w:sz w:val="20"/>
              </w:rPr>
              <w:t>IDZIEMY DO SĄDU. Podstawowe pojęcia: • zasada niezawisłości • apolityczność sędziów • immunitet sędziowski • Krajowa Rada Sądownictwa • sąd rejonowy, okręgowy, apelacyjny • Sąd Najwyższy • Prokuratura Krajowa • prokurator generalny • wyrok • apelacja • kasacja • skład sędziowski • ławnik • pozwany/pozwana, powód/powódka • nieletni przed sądem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V.11, V.7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44"/>
              <w:rPr>
                <w:sz w:val="20"/>
              </w:rPr>
            </w:pPr>
            <w:r>
              <w:rPr>
                <w:sz w:val="20"/>
              </w:rPr>
              <w:t>RZECZNICY PRAW. Podstawowe pojęcia: • Rzecznik Praw Obywatelskich • skarga do RPO • Rzecznik Praw Dziecka • Rzecznik Praw Pacjenta • powiatowi rzecznicy konsumentów • Rzecznik Finansowy • rzecznicy praw ucznia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IV.2</w:t>
            </w:r>
          </w:p>
        </w:tc>
        <w:tc>
          <w:tcPr>
            <w:tcW w:w="123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28"/>
        <w:gridCol w:w="803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3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1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64" w:type="dxa"/>
            <w:gridSpan w:val="10"/>
          </w:tcPr>
          <w:p>
            <w:pPr>
              <w:pStyle w:val="TableParagraph"/>
              <w:spacing w:line="235" w:lineRule="auto" w:before="23"/>
              <w:ind w:left="147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line="235" w:lineRule="auto" w:before="129"/>
              <w:ind w:left="74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2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2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28" w:lineRule="exact" w:before="20"/>
              <w:ind w:left="64"/>
              <w:rPr>
                <w:sz w:val="20"/>
              </w:rPr>
            </w:pPr>
            <w:r>
              <w:rPr>
                <w:sz w:val="20"/>
              </w:rPr>
              <w:t>KOMU POTRZEBNE JEST PRAWO CYWILNE? Podstawowe</w:t>
            </w:r>
          </w:p>
          <w:p>
            <w:pPr>
              <w:pStyle w:val="TableParagraph"/>
              <w:spacing w:line="235" w:lineRule="auto" w:before="1"/>
              <w:ind w:left="64" w:right="365"/>
              <w:rPr>
                <w:sz w:val="20"/>
              </w:rPr>
            </w:pPr>
            <w:r>
              <w:rPr>
                <w:sz w:val="20"/>
              </w:rPr>
              <w:t>pojęcia:• prawo cywilne • prawo zobowiązaniowe • osoba fizyczna, zdolność prawna a zdolność do czynności prawnych • umowy w prawie cywilnym • przedstawicielstwo a pełnomocnictwo • zobowiązanie • prawo rzeczowe i spadkowe • prawo rodzinne • przebieg postępowania cywilnego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V.4, V.5, V.6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28" w:lineRule="exact" w:before="20"/>
              <w:ind w:left="64"/>
              <w:rPr>
                <w:sz w:val="20"/>
              </w:rPr>
            </w:pPr>
            <w:r>
              <w:rPr>
                <w:sz w:val="20"/>
              </w:rPr>
              <w:t>PRAWO ADMINISTRACYJNE CZYLI MIEDZY OBYWATELEM A</w:t>
            </w:r>
          </w:p>
          <w:p>
            <w:pPr>
              <w:pStyle w:val="TableParagraph"/>
              <w:spacing w:line="235" w:lineRule="auto" w:before="1"/>
              <w:ind w:left="64" w:right="658"/>
              <w:rPr>
                <w:sz w:val="20"/>
              </w:rPr>
            </w:pPr>
            <w:r>
              <w:rPr>
                <w:sz w:val="20"/>
              </w:rPr>
              <w:t>URZĘDEM. Podstawowe pojęcia: • prawo administracyjne • sądownictwo administracyjne • Naczelny Sąd Administracyjny • bezczynność • decyzja, postanowienie • akty administracyjne • przebieg postępowania administracyjnego • strona • wniosek o ponowne rozpatrzenie sprawy • odwołanie • zażalenie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63"/>
              <w:rPr>
                <w:sz w:val="20"/>
              </w:rPr>
            </w:pPr>
            <w:r>
              <w:rPr>
                <w:sz w:val="20"/>
              </w:rPr>
              <w:t>V.10, V.8, V.9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43"/>
              <w:rPr>
                <w:sz w:val="20"/>
              </w:rPr>
            </w:pPr>
            <w:r>
              <w:rPr>
                <w:sz w:val="20"/>
              </w:rPr>
              <w:t>PRAWO NA CO DZIEŃ. Podstawowe pojęcia: • gdzie szukać aktów prawnych • jak rozumieć przepisy prawa • klauzula generalna • pomoc prawna • notariusz • radca prawny • adwokat • instytucje udzielające nieodpłatnej pomocy prawnej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V.12</w:t>
            </w:r>
          </w:p>
        </w:tc>
        <w:tc>
          <w:tcPr>
            <w:tcW w:w="1231" w:type="dxa"/>
          </w:tcPr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16 - 17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49"/>
              <w:rPr>
                <w:sz w:val="20"/>
              </w:rPr>
            </w:pPr>
            <w:r>
              <w:rPr>
                <w:sz w:val="20"/>
              </w:rPr>
              <w:t>OBYWATEL I OBYWATELKA W URZĘDZIE. Podstawowe pojęcia: • prawo do informacji publicznej • Biuletyn Informacji Publicznej • wniosek o dostęp do informacji publicznej • dokumenty w archiwach i urzędach • oryginał i odpis dokumentu • podania • biuro podawcze • PIT • e-administracja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V.13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before="125"/>
              <w:ind w:left="7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125"/>
              <w:ind w:left="6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1" w:type="dxa"/>
          </w:tcPr>
          <w:p>
            <w:pPr>
              <w:pStyle w:val="TableParagraph"/>
              <w:spacing w:before="125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23"/>
              <w:ind w:left="64" w:right="32"/>
              <w:rPr>
                <w:sz w:val="20"/>
              </w:rPr>
            </w:pPr>
            <w:r>
              <w:rPr>
                <w:sz w:val="20"/>
              </w:rPr>
              <w:t>godzina nietematyczna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487"/>
              <w:rPr>
                <w:sz w:val="20"/>
              </w:rPr>
            </w:pPr>
            <w:r>
              <w:rPr>
                <w:sz w:val="20"/>
              </w:rPr>
              <w:t>Projekty uczniowskie, debaty klasowe i szkolne, akcje społeczne,lekcja podsumowująca i sprawdzająca</w:t>
            </w:r>
          </w:p>
        </w:tc>
        <w:tc>
          <w:tcPr>
            <w:tcW w:w="706" w:type="dxa"/>
          </w:tcPr>
          <w:p>
            <w:pPr>
              <w:pStyle w:val="TableParagraph"/>
              <w:spacing w:before="125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Prawo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125"/>
              <w:ind w:left="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1" w:type="dxa"/>
          </w:tcPr>
          <w:p>
            <w:pPr>
              <w:pStyle w:val="TableParagraph"/>
              <w:spacing w:before="125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19 - 20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65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70"/>
              <w:rPr>
                <w:sz w:val="20"/>
              </w:rPr>
            </w:pPr>
            <w:r>
              <w:rPr>
                <w:sz w:val="20"/>
              </w:rPr>
              <w:t>MUR RUNĄŁ. Podstawowe pojęcia: • upadek komunizmu • pierestrojka, głasnost • Jesień Narodów • odprężenie międzynarodowe • trzecia fala demokratyzacji • OBWE • Rada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Europy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0" w:val="left" w:leader="none"/>
              </w:tabs>
              <w:spacing w:line="235" w:lineRule="auto" w:before="0" w:after="0"/>
              <w:ind w:left="64" w:right="158" w:firstLine="0"/>
              <w:jc w:val="left"/>
              <w:rPr>
                <w:sz w:val="20"/>
              </w:rPr>
            </w:pPr>
            <w:r>
              <w:rPr>
                <w:sz w:val="20"/>
              </w:rPr>
              <w:t>rozszerzenie Unii Europejskiej • Grupa Wyszehradzka • rozpad ZSRR • „rewolucja róż” w Gruzji • „pomarańczowa rewolucja” na Ukrainie • Rosja pod rządami Putina • rozpad Jugosławii i walki na Bałkanach • porozumienie z Dayton * Lekcja wykracza poza wymagania podstawy programowej. Umożliwia integrację wiedzy z historii najnowszej z wiadomościami z zakresu politologii i stosunków międzynarodowych.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44" w:right="110"/>
              <w:jc w:val="center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VII.2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28"/>
        <w:gridCol w:w="803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3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64" w:type="dxa"/>
            <w:gridSpan w:val="10"/>
          </w:tcPr>
          <w:p>
            <w:pPr>
              <w:pStyle w:val="TableParagraph"/>
              <w:spacing w:line="235" w:lineRule="auto" w:before="23"/>
              <w:ind w:left="147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line="235" w:lineRule="auto" w:before="129"/>
              <w:ind w:left="74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2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2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56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21 - 22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35" w:lineRule="auto" w:before="193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28" w:lineRule="exact" w:before="20"/>
              <w:ind w:left="64"/>
              <w:rPr>
                <w:sz w:val="20"/>
              </w:rPr>
            </w:pPr>
            <w:r>
              <w:rPr>
                <w:sz w:val="20"/>
              </w:rPr>
              <w:t>W POSZUKIWANIU SYSTEMU ZBIOROWEGO BEZPIECZEŃSTWA.</w:t>
            </w:r>
          </w:p>
          <w:p>
            <w:pPr>
              <w:pStyle w:val="TableParagraph"/>
              <w:spacing w:line="235" w:lineRule="auto" w:before="1"/>
              <w:ind w:left="64" w:right="116"/>
              <w:rPr>
                <w:sz w:val="20"/>
              </w:rPr>
            </w:pPr>
            <w:r>
              <w:rPr>
                <w:sz w:val="20"/>
              </w:rPr>
              <w:t>Podstawowe pojęcia: • ład międzynarodowy • zasada nienaruszalności granic i integralności terytorialnej państwa • suwerenność państwa • system bezpieczeństwa • spory, konflikty i wojny • Karta Narodów Zjednoczonych • wyspecjalizowane organizacje ONZ • pomoc humanitarna • supermocarstwo • akcja dyplomatyczna • operacja militarna • NATO• traktat waszyngtoński • pozaeuropejskie organizacje bezpieczeństwa i współpracy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exact" w:before="189"/>
              <w:ind w:left="63"/>
              <w:rPr>
                <w:sz w:val="20"/>
              </w:rPr>
            </w:pPr>
            <w:r>
              <w:rPr>
                <w:sz w:val="20"/>
              </w:rPr>
              <w:t>VII.11, VII.4,</w:t>
            </w:r>
          </w:p>
          <w:p>
            <w:pPr>
              <w:pStyle w:val="TableParagraph"/>
              <w:spacing w:line="228" w:lineRule="exact"/>
              <w:ind w:left="63"/>
              <w:rPr>
                <w:b/>
                <w:sz w:val="20"/>
              </w:rPr>
            </w:pPr>
            <w:r>
              <w:rPr>
                <w:sz w:val="20"/>
              </w:rPr>
              <w:t>VII.7 </w:t>
            </w:r>
            <w:r>
              <w:rPr>
                <w:b/>
                <w:sz w:val="20"/>
              </w:rPr>
              <w:t>...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23 - 24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35"/>
              <w:rPr>
                <w:sz w:val="20"/>
              </w:rPr>
            </w:pPr>
            <w:r>
              <w:rPr>
                <w:sz w:val="20"/>
              </w:rPr>
              <w:t>WSPÓLNA EUROPA. Podstawowe pojęcia: – wartości i prawa • integracja europejska • Europejska Wspólnota Węgla i Stali • Europejska Wspólnota Gospodarcza • ojcowie-założyciele • Jednolity Akt Europejski • wspólny rynek • zasada pomocniczości (subsydiarności) • zasada solidarności • euroregion • traktat konstytucyjny • prawo wspólnotowe • porozumienie z Schengen • Agenda 2000 • euroentuzjaści i eurosceptycy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3"/>
              <w:rPr>
                <w:sz w:val="20"/>
              </w:rPr>
            </w:pPr>
            <w:r>
              <w:rPr>
                <w:sz w:val="20"/>
              </w:rPr>
              <w:t>VII.8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1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25 - 26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61"/>
              <w:rPr>
                <w:sz w:val="20"/>
              </w:rPr>
            </w:pPr>
            <w:r>
              <w:rPr>
                <w:sz w:val="20"/>
              </w:rPr>
              <w:t>UNIA EUROPEJSKA – JAK TO DZIAŁA? Podstawowe pojęcia:• najważniejsze instytucje Unii Europejskiej: Rada Europejska, Rada, Komisja Europejska, Parlament Europejski, Trybunał Sprawiedliwości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0" w:val="left" w:leader="none"/>
              </w:tabs>
              <w:spacing w:line="235" w:lineRule="auto" w:before="0" w:after="0"/>
              <w:ind w:left="64" w:right="503" w:firstLine="0"/>
              <w:jc w:val="left"/>
              <w:rPr>
                <w:sz w:val="20"/>
              </w:rPr>
            </w:pPr>
            <w:r>
              <w:rPr>
                <w:sz w:val="20"/>
              </w:rPr>
              <w:t>kompetencje i zasady działania • grupy polityczne w PE • </w:t>
            </w:r>
            <w:r>
              <w:rPr>
                <w:spacing w:val="-3"/>
                <w:sz w:val="20"/>
              </w:rPr>
              <w:t>unijne </w:t>
            </w:r>
            <w:r>
              <w:rPr>
                <w:sz w:val="20"/>
              </w:rPr>
              <w:t>fundusze • wieloletnie ramy finansowe • budżet UE • najwięksi płatnicy netto i beneficjenci • obywatelstwo unijne • strefa euro • dylematy Unii • brexit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3"/>
              <w:rPr>
                <w:sz w:val="20"/>
              </w:rPr>
            </w:pPr>
            <w:r>
              <w:rPr>
                <w:sz w:val="20"/>
              </w:rPr>
              <w:t>VII.9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9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27 - 28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88"/>
              <w:rPr>
                <w:sz w:val="20"/>
              </w:rPr>
            </w:pPr>
            <w:r>
              <w:rPr>
                <w:sz w:val="20"/>
              </w:rPr>
              <w:t>POLSKA W EUROPIE, POLSKA W ŚWIECIE. Podstawowe pojęcia: </w:t>
            </w:r>
            <w:r>
              <w:rPr>
                <w:spacing w:val="-16"/>
                <w:sz w:val="20"/>
              </w:rPr>
              <w:t>• </w:t>
            </w:r>
            <w:r>
              <w:rPr>
                <w:sz w:val="20"/>
              </w:rPr>
              <w:t>korzyści i koszty członkostwa w Unii • jak Polacy oceniają członkostwo w UE • relacje z sąsiadami • współpraca międzynarodowa i regionalna • emigracja polityczna i ekonomiczna • Polonia • zadania ambasad i konsulatów • listy uwierzytelniające • polska racja stanu • Europa federacyjna • Europa ojczyzn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VII.1, VII.6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29 - 30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01"/>
              <w:rPr>
                <w:sz w:val="20"/>
              </w:rPr>
            </w:pPr>
            <w:r>
              <w:rPr>
                <w:sz w:val="20"/>
              </w:rPr>
              <w:t>ŚWIAT DALEKI OD DOSKONAŁOŚCI. Podstawowe pojęcia: • spór międzynarodowy, konflikt, wojna • separatyzm • wojna domowa • terroryzm – źródła i organizacje • fundamentalizm • globalna Północ i globalne Południe • skrajne ubóstwo na świecie • migranci i uchodźcy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0" w:val="left" w:leader="none"/>
              </w:tabs>
              <w:spacing w:line="235" w:lineRule="auto" w:before="0" w:after="0"/>
              <w:ind w:left="64" w:right="661" w:firstLine="0"/>
              <w:jc w:val="left"/>
              <w:rPr>
                <w:sz w:val="20"/>
              </w:rPr>
            </w:pPr>
            <w:r>
              <w:rPr>
                <w:sz w:val="20"/>
              </w:rPr>
              <w:t>Wysoki Komisarz ds. Uchodźców • pomoc humanitarna • </w:t>
            </w:r>
            <w:r>
              <w:rPr>
                <w:spacing w:val="-4"/>
                <w:sz w:val="20"/>
              </w:rPr>
              <w:t>broń </w:t>
            </w:r>
            <w:r>
              <w:rPr>
                <w:sz w:val="20"/>
              </w:rPr>
              <w:t>masowego rażenia, chemiczna i biologiczna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VII.3, VII.5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6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627" w:type="dxa"/>
            <w:gridSpan w:val="10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6820" w:h="11920" w:orient="landscape"/>
          <w:pgMar w:top="540" w:bottom="280" w:left="280" w:right="300"/>
        </w:sectPr>
      </w:pPr>
    </w:p>
    <w:tbl>
      <w:tblPr>
        <w:tblW w:w="0" w:type="auto"/>
        <w:jc w:val="left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"/>
        <w:gridCol w:w="428"/>
        <w:gridCol w:w="803"/>
        <w:gridCol w:w="1306"/>
        <w:gridCol w:w="781"/>
        <w:gridCol w:w="1426"/>
        <w:gridCol w:w="6349"/>
        <w:gridCol w:w="706"/>
        <w:gridCol w:w="1261"/>
        <w:gridCol w:w="1336"/>
        <w:gridCol w:w="1231"/>
        <w:gridCol w:w="165"/>
      </w:tblGrid>
      <w:tr>
        <w:trPr>
          <w:trHeight w:val="505" w:hRule="atLeast"/>
        </w:trPr>
        <w:tc>
          <w:tcPr>
            <w:tcW w:w="593" w:type="dxa"/>
            <w:gridSpan w:val="2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10" w:lineRule="exact"/>
              <w:ind w:left="18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49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364" w:type="dxa"/>
            <w:gridSpan w:val="10"/>
          </w:tcPr>
          <w:p>
            <w:pPr>
              <w:pStyle w:val="TableParagraph"/>
              <w:spacing w:line="235" w:lineRule="auto" w:before="23"/>
              <w:ind w:left="147" w:right="1285"/>
              <w:rPr>
                <w:b/>
                <w:sz w:val="20"/>
              </w:rPr>
            </w:pPr>
            <w:r>
              <w:rPr>
                <w:b/>
                <w:sz w:val="20"/>
              </w:rPr>
              <w:t>Etap: Ponadgimnazjalna / ponadpodstawowa, Poziom: 2 Liczba tematów lekcji: 21, Liczba godzin lekcyjnych 35 (w tym 33 tematycznych i 2 godzin nietematycznych)</w:t>
            </w:r>
          </w:p>
        </w:tc>
      </w:tr>
      <w:tr>
        <w:trPr>
          <w:trHeight w:val="730" w:hRule="atLeast"/>
        </w:trPr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line="235" w:lineRule="auto" w:before="129"/>
              <w:ind w:left="74" w:right="33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Nr tematu</w:t>
            </w:r>
          </w:p>
        </w:tc>
        <w:tc>
          <w:tcPr>
            <w:tcW w:w="1306" w:type="dxa"/>
          </w:tcPr>
          <w:p>
            <w:pPr>
              <w:pStyle w:val="TableParagraph"/>
              <w:spacing w:line="235" w:lineRule="auto" w:before="23"/>
              <w:ind w:left="72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    porządkowy lekcji</w:t>
            </w:r>
          </w:p>
        </w:tc>
        <w:tc>
          <w:tcPr>
            <w:tcW w:w="781" w:type="dxa"/>
          </w:tcPr>
          <w:p>
            <w:pPr>
              <w:pStyle w:val="TableParagraph"/>
              <w:spacing w:line="235" w:lineRule="auto" w:before="129"/>
              <w:ind w:left="65" w:right="31" w:firstLine="11"/>
              <w:rPr>
                <w:b/>
                <w:sz w:val="20"/>
              </w:rPr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381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Rodzaj tematu</w:t>
            </w:r>
          </w:p>
        </w:tc>
        <w:tc>
          <w:tcPr>
            <w:tcW w:w="634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622" w:right="2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Temat dnia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26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Podrozdział</w:t>
            </w:r>
          </w:p>
        </w:tc>
        <w:tc>
          <w:tcPr>
            <w:tcW w:w="1336" w:type="dxa"/>
          </w:tcPr>
          <w:p>
            <w:pPr>
              <w:pStyle w:val="TableParagraph"/>
              <w:spacing w:line="235" w:lineRule="auto" w:before="129"/>
              <w:ind w:left="63" w:right="32" w:firstLine="133"/>
              <w:rPr>
                <w:b/>
                <w:sz w:val="20"/>
              </w:rPr>
            </w:pPr>
            <w:r>
              <w:rPr>
                <w:b/>
                <w:sz w:val="20"/>
              </w:rPr>
              <w:t>Podstawa programowa</w:t>
            </w:r>
          </w:p>
        </w:tc>
        <w:tc>
          <w:tcPr>
            <w:tcW w:w="1231" w:type="dxa"/>
          </w:tcPr>
          <w:p>
            <w:pPr>
              <w:pStyle w:val="TableParagraph"/>
              <w:spacing w:line="235" w:lineRule="auto" w:before="23"/>
              <w:ind w:left="65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Zasób / Treść edukacyjna</w:t>
            </w:r>
          </w:p>
        </w:tc>
        <w:tc>
          <w:tcPr>
            <w:tcW w:w="1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31 - 32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rPr>
                <w:b/>
                <w:sz w:val="30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81"/>
              <w:rPr>
                <w:sz w:val="20"/>
              </w:rPr>
            </w:pPr>
            <w:r>
              <w:rPr>
                <w:sz w:val="20"/>
              </w:rPr>
              <w:t>DYLEMATY NOWEGO TYSIĄCLECIA. Podstawowe pojęcia: • globalizacja i jej wyzwania • światowy rynek gospodarczy • Davos • anty- i alterglobaliści • technokracja • społeczne skutki rozwoju nauki • cyfryzacja – szanse i zagrożenia • demokratyzacja we współczesnym świecie • spory moralne: kara śmierci, aborcja, eutanazja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VII.2, VII.3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5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33 - 34</w:t>
            </w:r>
          </w:p>
        </w:tc>
        <w:tc>
          <w:tcPr>
            <w:tcW w:w="78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64" w:right="533"/>
              <w:rPr>
                <w:sz w:val="20"/>
              </w:rPr>
            </w:pPr>
            <w:r>
              <w:rPr>
                <w:sz w:val="20"/>
              </w:rPr>
              <w:t>temat właściwy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91"/>
              <w:rPr>
                <w:sz w:val="20"/>
              </w:rPr>
            </w:pPr>
            <w:r>
              <w:rPr>
                <w:sz w:val="20"/>
              </w:rPr>
              <w:t>DOBRY KLIMAT DLA ZIEMI. Podstawowe pojęcia: • ochrona środowiska • ekosystem • skutki działalności człowieka • globalne ocieplenie • kurczenie się zasobów naturalnych • wymieranie gatunków roślin i zwierząt • zrównoważony rozwój • Europejski Zielony Ład • Młodzieżowy Strajk Klimatyczny • kobiety z globalnego Południa wobec zmian klimatycznych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VII.3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0" w:lineRule="exact"/>
              <w:ind w:left="6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42875" cy="133350"/>
                  <wp:effectExtent l="0" t="0" r="0" b="0"/>
                  <wp:docPr id="5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03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6" w:type="dxa"/>
          </w:tcPr>
          <w:p>
            <w:pPr>
              <w:pStyle w:val="TableParagraph"/>
              <w:spacing w:line="235" w:lineRule="auto" w:before="129"/>
              <w:ind w:left="64" w:right="32"/>
              <w:rPr>
                <w:sz w:val="20"/>
              </w:rPr>
            </w:pPr>
            <w:r>
              <w:rPr>
                <w:sz w:val="20"/>
              </w:rPr>
              <w:t>godzina nietematyczna</w:t>
            </w:r>
          </w:p>
        </w:tc>
        <w:tc>
          <w:tcPr>
            <w:tcW w:w="6349" w:type="dxa"/>
          </w:tcPr>
          <w:p>
            <w:pPr>
              <w:pStyle w:val="TableParagraph"/>
              <w:spacing w:line="235" w:lineRule="auto" w:before="23"/>
              <w:ind w:left="64" w:right="108"/>
              <w:rPr>
                <w:sz w:val="20"/>
              </w:rPr>
            </w:pPr>
            <w:r>
              <w:rPr>
                <w:sz w:val="20"/>
              </w:rPr>
              <w:t>Projekty uczniowskie, debaty klasowe i szkolne, akcje społeczne,lekcja podsumowująca i sprawdzająca, informacja zwrotna dla nauczyciela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Świat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1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zobacz</w:t>
            </w: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7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15957" w:type="dxa"/>
            <w:gridSpan w:val="1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sectPr>
      <w:pgSz w:w="16820" w:h="11920" w:orient="landscape"/>
      <w:pgMar w:top="54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64" w:hanging="126"/>
      </w:pPr>
      <w:rPr>
        <w:rFonts w:hint="default" w:ascii="Arial" w:hAnsi="Arial" w:eastAsia="Arial" w:cs="Arial"/>
        <w:spacing w:val="-4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13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0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67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9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8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75" w:hanging="126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4" w:hanging="126"/>
      </w:pPr>
      <w:rPr>
        <w:rFonts w:hint="default" w:ascii="Arial" w:hAnsi="Arial" w:eastAsia="Arial" w:cs="Arial"/>
        <w:spacing w:val="-3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13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0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67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9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8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75" w:hanging="126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4" w:hanging="126"/>
      </w:pPr>
      <w:rPr>
        <w:rFonts w:hint="default" w:ascii="Arial" w:hAnsi="Arial" w:eastAsia="Arial" w:cs="Arial"/>
        <w:spacing w:val="-2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86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13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0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67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9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8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75" w:hanging="126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9" w:hanging="126"/>
      </w:pPr>
      <w:rPr>
        <w:rFonts w:hint="default" w:ascii="Arial" w:hAnsi="Arial" w:eastAsia="Arial" w:cs="Arial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794" w:hanging="12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09" w:hanging="12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24" w:hanging="12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39" w:hanging="12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54" w:hanging="12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69" w:hanging="12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84" w:hanging="12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99" w:hanging="12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5" w:hanging="123"/>
      </w:pPr>
      <w:rPr>
        <w:rFonts w:hint="default" w:ascii="Arial" w:hAnsi="Arial" w:eastAsia="Arial" w:cs="Arial"/>
        <w:spacing w:val="-8"/>
        <w:w w:val="100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647" w:hanging="123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235" w:hanging="123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822" w:hanging="123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6410" w:hanging="123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7997" w:hanging="123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9585" w:hanging="123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11172" w:hanging="123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12760" w:hanging="123"/>
      </w:pPr>
      <w:rPr>
        <w:rFonts w:hint="default"/>
        <w:lang w:val="pl-PL" w:eastAsia="pl-PL" w:bidi="pl-PL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2020-08-27T11:51:47Z</dcterms:created>
  <dcterms:modified xsi:type="dcterms:W3CDTF">2020-08-27T11:51:47Z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2020-08-27T00:00:00Z</vt:filetime>
  </property>
</Properties>
</file>